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70" w:rsidRDefault="00C515DC">
      <w:pPr>
        <w:rPr>
          <w:sz w:val="20"/>
          <w:szCs w:val="20"/>
        </w:rPr>
      </w:pPr>
      <w:bookmarkStart w:id="0" w:name="_GoBack"/>
      <w:bookmarkEnd w:id="0"/>
      <w:r w:rsidRPr="00772170">
        <w:rPr>
          <w:b/>
          <w:sz w:val="20"/>
          <w:szCs w:val="20"/>
        </w:rPr>
        <w:t xml:space="preserve">About the </w:t>
      </w:r>
      <w:r w:rsidR="006E7CAB" w:rsidRPr="00772170">
        <w:rPr>
          <w:b/>
          <w:sz w:val="20"/>
          <w:szCs w:val="20"/>
        </w:rPr>
        <w:t>New Zealand Ministry of Education</w:t>
      </w:r>
    </w:p>
    <w:p w:rsidR="00AD370F" w:rsidRPr="0061795F" w:rsidRDefault="006E7CAB" w:rsidP="0061795F">
      <w:pPr>
        <w:rPr>
          <w:rFonts w:cstheme="minorHAnsi"/>
          <w:sz w:val="20"/>
          <w:szCs w:val="20"/>
        </w:rPr>
      </w:pPr>
      <w:r w:rsidRPr="002F6660">
        <w:rPr>
          <w:sz w:val="20"/>
          <w:szCs w:val="20"/>
        </w:rPr>
        <w:t>The Ministry responded to a shift from writing product to writing process in the 1980’s</w:t>
      </w:r>
      <w:r w:rsidR="002F6660">
        <w:rPr>
          <w:sz w:val="20"/>
          <w:szCs w:val="20"/>
        </w:rPr>
        <w:t>.</w:t>
      </w:r>
      <w:r w:rsidR="00772170">
        <w:rPr>
          <w:sz w:val="20"/>
          <w:szCs w:val="20"/>
        </w:rPr>
        <w:t xml:space="preserve">  </w:t>
      </w:r>
      <w:r w:rsidRPr="00772170">
        <w:rPr>
          <w:rFonts w:cstheme="minorHAnsi"/>
          <w:sz w:val="20"/>
          <w:szCs w:val="20"/>
        </w:rPr>
        <w:t>“Teachers seldom looked beyond the surface features – the weaknesses of spelling, punctuation, grammar and usage….Writing was seldom considered as a tool for communicating, recording and understanding.”</w:t>
      </w:r>
    </w:p>
    <w:p w:rsidR="00772170" w:rsidRDefault="00C515DC">
      <w:pPr>
        <w:rPr>
          <w:b/>
          <w:sz w:val="20"/>
          <w:szCs w:val="20"/>
        </w:rPr>
      </w:pPr>
      <w:r w:rsidRPr="00772170">
        <w:rPr>
          <w:b/>
          <w:sz w:val="20"/>
          <w:szCs w:val="20"/>
        </w:rPr>
        <w:t xml:space="preserve">Peer </w:t>
      </w:r>
      <w:r w:rsidR="00772170" w:rsidRPr="00772170">
        <w:rPr>
          <w:b/>
          <w:sz w:val="20"/>
          <w:szCs w:val="20"/>
        </w:rPr>
        <w:t>Evaluator Review/Rationale for S</w:t>
      </w:r>
      <w:r w:rsidRPr="00772170">
        <w:rPr>
          <w:b/>
          <w:sz w:val="20"/>
          <w:szCs w:val="20"/>
        </w:rPr>
        <w:t>election</w:t>
      </w:r>
    </w:p>
    <w:p w:rsidR="00C515DC" w:rsidRPr="002F6660" w:rsidRDefault="006E7CAB">
      <w:pPr>
        <w:rPr>
          <w:sz w:val="20"/>
          <w:szCs w:val="20"/>
        </w:rPr>
      </w:pPr>
      <w:r w:rsidRPr="002F6660">
        <w:rPr>
          <w:sz w:val="20"/>
          <w:szCs w:val="20"/>
        </w:rPr>
        <w:t>This text was chosen as a resource and possible PLC Book Study for teachers who were participating in a beginning level Writer’s Workshop created by MCESA.</w:t>
      </w:r>
      <w:r w:rsidR="00AB5537" w:rsidRPr="002F6660">
        <w:rPr>
          <w:sz w:val="20"/>
          <w:szCs w:val="20"/>
        </w:rPr>
        <w:t xml:space="preserve"> It is a great resource for teachers who want writing to be student-centered.</w:t>
      </w:r>
    </w:p>
    <w:p w:rsidR="00C515DC" w:rsidRPr="0061795F" w:rsidRDefault="00C515DC">
      <w:pPr>
        <w:rPr>
          <w:b/>
          <w:sz w:val="20"/>
          <w:szCs w:val="20"/>
        </w:rPr>
      </w:pPr>
      <w:r w:rsidRPr="0061795F">
        <w:rPr>
          <w:b/>
          <w:sz w:val="20"/>
          <w:szCs w:val="20"/>
        </w:rPr>
        <w:t xml:space="preserve">Chapter </w:t>
      </w:r>
      <w:r w:rsidR="00C20F0B" w:rsidRPr="0061795F">
        <w:rPr>
          <w:b/>
          <w:sz w:val="20"/>
          <w:szCs w:val="20"/>
        </w:rPr>
        <w:t>1</w:t>
      </w:r>
      <w:r w:rsidRPr="0061795F">
        <w:rPr>
          <w:b/>
          <w:sz w:val="20"/>
          <w:szCs w:val="20"/>
        </w:rPr>
        <w:t>:</w:t>
      </w:r>
      <w:r w:rsidR="0061795F">
        <w:rPr>
          <w:b/>
          <w:sz w:val="20"/>
          <w:szCs w:val="20"/>
        </w:rPr>
        <w:t xml:space="preserve">  </w:t>
      </w:r>
      <w:r w:rsidR="00752E6A" w:rsidRPr="0061795F">
        <w:rPr>
          <w:b/>
          <w:sz w:val="20"/>
          <w:szCs w:val="20"/>
        </w:rPr>
        <w:t xml:space="preserve">Beliefs and Principals </w:t>
      </w:r>
      <w:r w:rsidR="0061795F">
        <w:rPr>
          <w:b/>
          <w:sz w:val="20"/>
          <w:szCs w:val="20"/>
        </w:rPr>
        <w:t>(9 – 20)</w:t>
      </w:r>
    </w:p>
    <w:p w:rsidR="000F55DE" w:rsidRPr="00846904" w:rsidRDefault="00817EE0" w:rsidP="00AD37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6904">
        <w:rPr>
          <w:sz w:val="20"/>
          <w:szCs w:val="20"/>
        </w:rPr>
        <w:t>How might you be able to bring writing and reading closer together in your daily classroom?</w:t>
      </w:r>
    </w:p>
    <w:p w:rsidR="00817EE0" w:rsidRPr="00846904" w:rsidRDefault="00817EE0" w:rsidP="008109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6904">
        <w:rPr>
          <w:sz w:val="20"/>
          <w:szCs w:val="20"/>
        </w:rPr>
        <w:t xml:space="preserve">What models do students need </w:t>
      </w:r>
      <w:r w:rsidR="003B417B">
        <w:rPr>
          <w:sz w:val="20"/>
          <w:szCs w:val="20"/>
        </w:rPr>
        <w:t xml:space="preserve">in order </w:t>
      </w:r>
      <w:r w:rsidRPr="00846904">
        <w:rPr>
          <w:sz w:val="20"/>
          <w:szCs w:val="20"/>
        </w:rPr>
        <w:t>to be successful in the writing process?</w:t>
      </w:r>
    </w:p>
    <w:p w:rsidR="00DB6B9D" w:rsidRPr="003B417B" w:rsidRDefault="00817EE0" w:rsidP="003B41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6904">
        <w:rPr>
          <w:sz w:val="20"/>
          <w:szCs w:val="20"/>
        </w:rPr>
        <w:t xml:space="preserve">Considering the </w:t>
      </w:r>
      <w:r w:rsidR="003B417B">
        <w:rPr>
          <w:sz w:val="20"/>
          <w:szCs w:val="20"/>
        </w:rPr>
        <w:t>Learning Observation Instrument element</w:t>
      </w:r>
      <w:r w:rsidRPr="00846904">
        <w:rPr>
          <w:sz w:val="20"/>
          <w:szCs w:val="20"/>
        </w:rPr>
        <w:t xml:space="preserve"> </w:t>
      </w:r>
      <w:r w:rsidRPr="003B417B">
        <w:rPr>
          <w:sz w:val="20"/>
          <w:szCs w:val="20"/>
          <w:u w:val="single"/>
        </w:rPr>
        <w:t>Responsibility for Learning</w:t>
      </w:r>
      <w:r w:rsidR="003B417B">
        <w:rPr>
          <w:sz w:val="20"/>
          <w:szCs w:val="20"/>
        </w:rPr>
        <w:t>,</w:t>
      </w:r>
      <w:r w:rsidRPr="00846904">
        <w:rPr>
          <w:sz w:val="20"/>
          <w:szCs w:val="20"/>
        </w:rPr>
        <w:t xml:space="preserve"> what are some ways you will set high expectations for writing?</w:t>
      </w:r>
    </w:p>
    <w:p w:rsidR="00A950BB" w:rsidRPr="0061795F" w:rsidRDefault="00A950BB" w:rsidP="00A950BB">
      <w:pPr>
        <w:rPr>
          <w:b/>
          <w:sz w:val="20"/>
          <w:szCs w:val="20"/>
        </w:rPr>
      </w:pPr>
      <w:r w:rsidRPr="0061795F">
        <w:rPr>
          <w:b/>
          <w:sz w:val="20"/>
          <w:szCs w:val="20"/>
        </w:rPr>
        <w:t xml:space="preserve">Chapter </w:t>
      </w:r>
      <w:r w:rsidR="00C20F0B" w:rsidRPr="0061795F">
        <w:rPr>
          <w:b/>
          <w:sz w:val="20"/>
          <w:szCs w:val="20"/>
        </w:rPr>
        <w:t>2</w:t>
      </w:r>
      <w:r w:rsidRPr="0061795F">
        <w:rPr>
          <w:b/>
          <w:sz w:val="20"/>
          <w:szCs w:val="20"/>
        </w:rPr>
        <w:t>:</w:t>
      </w:r>
      <w:r w:rsidR="0061795F">
        <w:rPr>
          <w:b/>
          <w:sz w:val="20"/>
          <w:szCs w:val="20"/>
        </w:rPr>
        <w:t xml:space="preserve">  The Writing Process</w:t>
      </w:r>
      <w:r w:rsidR="00752E6A" w:rsidRPr="0061795F">
        <w:rPr>
          <w:b/>
          <w:sz w:val="20"/>
          <w:szCs w:val="20"/>
        </w:rPr>
        <w:t xml:space="preserve"> </w:t>
      </w:r>
      <w:r w:rsidR="0061795F">
        <w:rPr>
          <w:b/>
          <w:sz w:val="20"/>
          <w:szCs w:val="20"/>
        </w:rPr>
        <w:t>(</w:t>
      </w:r>
      <w:r w:rsidR="00752E6A" w:rsidRPr="0061795F">
        <w:rPr>
          <w:b/>
          <w:sz w:val="20"/>
          <w:szCs w:val="20"/>
        </w:rPr>
        <w:t>21 – 25</w:t>
      </w:r>
      <w:r w:rsidR="0061795F">
        <w:rPr>
          <w:b/>
          <w:sz w:val="20"/>
          <w:szCs w:val="20"/>
        </w:rPr>
        <w:t>)</w:t>
      </w:r>
      <w:r w:rsidR="00752E6A" w:rsidRPr="0061795F">
        <w:rPr>
          <w:b/>
          <w:sz w:val="20"/>
          <w:szCs w:val="20"/>
        </w:rPr>
        <w:t xml:space="preserve"> </w:t>
      </w:r>
      <w:r w:rsidRPr="0061795F">
        <w:rPr>
          <w:b/>
          <w:sz w:val="20"/>
          <w:szCs w:val="20"/>
        </w:rPr>
        <w:tab/>
      </w:r>
    </w:p>
    <w:p w:rsidR="00A950BB" w:rsidRPr="00846904" w:rsidRDefault="002A1886" w:rsidP="00A950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46904">
        <w:rPr>
          <w:sz w:val="20"/>
          <w:szCs w:val="20"/>
        </w:rPr>
        <w:t xml:space="preserve">Revising falls in the stage of </w:t>
      </w:r>
      <w:r w:rsidRPr="00846904">
        <w:rPr>
          <w:i/>
          <w:sz w:val="20"/>
          <w:szCs w:val="20"/>
        </w:rPr>
        <w:t>composing and drafting</w:t>
      </w:r>
      <w:r w:rsidRPr="00846904">
        <w:rPr>
          <w:sz w:val="20"/>
          <w:szCs w:val="20"/>
        </w:rPr>
        <w:t xml:space="preserve">, while editing falls under the next stage, </w:t>
      </w:r>
      <w:r w:rsidRPr="00846904">
        <w:rPr>
          <w:i/>
          <w:sz w:val="20"/>
          <w:szCs w:val="20"/>
        </w:rPr>
        <w:t>correcting and publishing</w:t>
      </w:r>
      <w:r w:rsidRPr="00846904">
        <w:rPr>
          <w:sz w:val="20"/>
          <w:szCs w:val="20"/>
        </w:rPr>
        <w:t>; how will you separate these concepts (and their distinct purposes) in the minds of your students? (pg. 24-25)</w:t>
      </w:r>
    </w:p>
    <w:p w:rsidR="00A950BB" w:rsidRPr="00846904" w:rsidRDefault="002A1886" w:rsidP="00A950B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46904">
        <w:rPr>
          <w:sz w:val="20"/>
          <w:szCs w:val="20"/>
        </w:rPr>
        <w:t>What are the main writing types to be covered at your grade level in the Common Core</w:t>
      </w:r>
      <w:r w:rsidR="003B417B">
        <w:rPr>
          <w:sz w:val="20"/>
          <w:szCs w:val="20"/>
        </w:rPr>
        <w:t xml:space="preserve"> State Standards (CCSS)</w:t>
      </w:r>
      <w:r w:rsidRPr="00846904">
        <w:rPr>
          <w:sz w:val="20"/>
          <w:szCs w:val="20"/>
        </w:rPr>
        <w:t>? Do all of the types fit within the model of the writing process as outlined in the chapter? How so? How might they not?</w:t>
      </w:r>
    </w:p>
    <w:p w:rsidR="00846904" w:rsidRPr="003B417B" w:rsidRDefault="00846904" w:rsidP="003B417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Go to the following link for a user-friendly piece on editing vs. revising and a way to present the concept to students. </w:t>
      </w:r>
      <w:hyperlink r:id="rId8" w:history="1">
        <w:r w:rsidRPr="002E6205">
          <w:rPr>
            <w:rStyle w:val="Hyperlink"/>
            <w:sz w:val="20"/>
            <w:szCs w:val="20"/>
          </w:rPr>
          <w:t>http://www.clarion.edu/67245.pdf</w:t>
        </w:r>
      </w:hyperlink>
    </w:p>
    <w:p w:rsidR="00A950BB" w:rsidRPr="0061795F" w:rsidRDefault="00A950BB" w:rsidP="00A950BB">
      <w:pPr>
        <w:rPr>
          <w:b/>
          <w:sz w:val="20"/>
          <w:szCs w:val="20"/>
        </w:rPr>
      </w:pPr>
      <w:r w:rsidRPr="0061795F">
        <w:rPr>
          <w:b/>
          <w:sz w:val="20"/>
          <w:szCs w:val="20"/>
        </w:rPr>
        <w:t xml:space="preserve">Chapter </w:t>
      </w:r>
      <w:r w:rsidR="00C20F0B" w:rsidRPr="0061795F">
        <w:rPr>
          <w:b/>
          <w:sz w:val="20"/>
          <w:szCs w:val="20"/>
        </w:rPr>
        <w:t>3</w:t>
      </w:r>
      <w:r w:rsidRPr="0061795F">
        <w:rPr>
          <w:b/>
          <w:sz w:val="20"/>
          <w:szCs w:val="20"/>
        </w:rPr>
        <w:t>:</w:t>
      </w:r>
      <w:r w:rsidR="0061795F">
        <w:rPr>
          <w:b/>
          <w:sz w:val="20"/>
          <w:szCs w:val="20"/>
        </w:rPr>
        <w:t xml:space="preserve">  </w:t>
      </w:r>
      <w:r w:rsidR="00752E6A" w:rsidRPr="0061795F">
        <w:rPr>
          <w:b/>
          <w:sz w:val="20"/>
          <w:szCs w:val="20"/>
        </w:rPr>
        <w:t xml:space="preserve">The Writing Process in Action </w:t>
      </w:r>
      <w:r w:rsidR="0061795F">
        <w:rPr>
          <w:b/>
          <w:sz w:val="20"/>
          <w:szCs w:val="20"/>
        </w:rPr>
        <w:t>(26 – 79)</w:t>
      </w:r>
      <w:r w:rsidRPr="0061795F">
        <w:rPr>
          <w:b/>
          <w:sz w:val="20"/>
          <w:szCs w:val="20"/>
        </w:rPr>
        <w:tab/>
      </w:r>
    </w:p>
    <w:p w:rsidR="00A950BB" w:rsidRPr="00846904" w:rsidRDefault="00E433AD" w:rsidP="00A950B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What is meant by leaving the topic choice to the reader? Why is </w:t>
      </w:r>
      <w:proofErr w:type="gramStart"/>
      <w:r>
        <w:rPr>
          <w:sz w:val="20"/>
          <w:szCs w:val="20"/>
        </w:rPr>
        <w:t>this a</w:t>
      </w:r>
      <w:proofErr w:type="gramEnd"/>
      <w:r>
        <w:rPr>
          <w:sz w:val="20"/>
          <w:szCs w:val="20"/>
        </w:rPr>
        <w:t xml:space="preserve"> critical aspect of classroom writing?</w:t>
      </w:r>
    </w:p>
    <w:p w:rsidR="00A950BB" w:rsidRPr="00846904" w:rsidRDefault="007D0B7E" w:rsidP="00A950B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the different</w:t>
      </w:r>
      <w:r w:rsidR="00E433AD">
        <w:rPr>
          <w:sz w:val="20"/>
          <w:szCs w:val="20"/>
        </w:rPr>
        <w:t xml:space="preserve"> teacher roles presented in the chapter, and how do they relate to the </w:t>
      </w:r>
      <w:r w:rsidR="00E433AD" w:rsidRPr="003B417B">
        <w:rPr>
          <w:sz w:val="20"/>
          <w:szCs w:val="20"/>
          <w:u w:val="single"/>
        </w:rPr>
        <w:t>Teacher Role</w:t>
      </w:r>
      <w:r w:rsidR="00E433AD">
        <w:rPr>
          <w:sz w:val="20"/>
          <w:szCs w:val="20"/>
        </w:rPr>
        <w:t xml:space="preserve"> element of the LOI?</w:t>
      </w:r>
    </w:p>
    <w:p w:rsidR="00A950BB" w:rsidRDefault="003B417B" w:rsidP="00A950B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E433AD">
        <w:rPr>
          <w:sz w:val="20"/>
          <w:szCs w:val="20"/>
        </w:rPr>
        <w:t>elect</w:t>
      </w:r>
      <w:r w:rsidR="007A44E7">
        <w:rPr>
          <w:sz w:val="20"/>
          <w:szCs w:val="20"/>
        </w:rPr>
        <w:t xml:space="preserve"> and read</w:t>
      </w:r>
      <w:r w:rsidR="00E433AD">
        <w:rPr>
          <w:sz w:val="20"/>
          <w:szCs w:val="20"/>
        </w:rPr>
        <w:t xml:space="preserve"> a piece of stud</w:t>
      </w:r>
      <w:r w:rsidR="007A44E7">
        <w:rPr>
          <w:sz w:val="20"/>
          <w:szCs w:val="20"/>
        </w:rPr>
        <w:t xml:space="preserve">ent writing in the next day or two. Then hold a teacher-student conference in which you: </w:t>
      </w:r>
      <w:r>
        <w:rPr>
          <w:sz w:val="20"/>
          <w:szCs w:val="20"/>
        </w:rPr>
        <w:t>(1)</w:t>
      </w:r>
      <w:r w:rsidR="007A44E7">
        <w:rPr>
          <w:sz w:val="20"/>
          <w:szCs w:val="20"/>
        </w:rPr>
        <w:t xml:space="preserve"> </w:t>
      </w:r>
      <w:r w:rsidR="00E433AD">
        <w:rPr>
          <w:sz w:val="20"/>
          <w:szCs w:val="20"/>
        </w:rPr>
        <w:t>notice something positive,</w:t>
      </w:r>
      <w:r>
        <w:rPr>
          <w:sz w:val="20"/>
          <w:szCs w:val="20"/>
        </w:rPr>
        <w:t xml:space="preserve"> (2) ask the student about his/her intended audience, and (3</w:t>
      </w:r>
      <w:r w:rsidR="007A44E7">
        <w:rPr>
          <w:sz w:val="20"/>
          <w:szCs w:val="20"/>
        </w:rPr>
        <w:t>) ask one or two</w:t>
      </w:r>
      <w:r w:rsidR="00E433AD">
        <w:rPr>
          <w:sz w:val="20"/>
          <w:szCs w:val="20"/>
        </w:rPr>
        <w:t xml:space="preserve"> que</w:t>
      </w:r>
      <w:r w:rsidR="007A44E7">
        <w:rPr>
          <w:sz w:val="20"/>
          <w:szCs w:val="20"/>
        </w:rPr>
        <w:t>stions that may</w:t>
      </w:r>
      <w:r w:rsidR="00E433AD">
        <w:rPr>
          <w:sz w:val="20"/>
          <w:szCs w:val="20"/>
        </w:rPr>
        <w:t xml:space="preserve"> help</w:t>
      </w:r>
      <w:r w:rsidR="007A44E7">
        <w:rPr>
          <w:sz w:val="20"/>
          <w:szCs w:val="20"/>
        </w:rPr>
        <w:t xml:space="preserve"> the writer revise.</w:t>
      </w:r>
    </w:p>
    <w:p w:rsidR="007D0B7E" w:rsidRDefault="007D0B7E" w:rsidP="00A950B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Brainstorm a list of writing </w:t>
      </w:r>
      <w:r w:rsidR="003B417B">
        <w:rPr>
          <w:sz w:val="20"/>
          <w:szCs w:val="20"/>
        </w:rPr>
        <w:t>forms (pp</w:t>
      </w:r>
      <w:r>
        <w:rPr>
          <w:sz w:val="20"/>
          <w:szCs w:val="20"/>
        </w:rPr>
        <w:t>. 49</w:t>
      </w:r>
      <w:r w:rsidR="003B417B">
        <w:rPr>
          <w:sz w:val="20"/>
          <w:szCs w:val="20"/>
        </w:rPr>
        <w:t>-53) you will teach to students. R</w:t>
      </w:r>
      <w:r>
        <w:rPr>
          <w:sz w:val="20"/>
          <w:szCs w:val="20"/>
        </w:rPr>
        <w:t xml:space="preserve">eference your grade-level </w:t>
      </w:r>
      <w:r w:rsidR="003B417B">
        <w:rPr>
          <w:sz w:val="20"/>
          <w:szCs w:val="20"/>
        </w:rPr>
        <w:t>CCSS</w:t>
      </w:r>
      <w:r>
        <w:rPr>
          <w:sz w:val="20"/>
          <w:szCs w:val="20"/>
        </w:rPr>
        <w:t xml:space="preserve"> as necessary, realizing that some forms may occur outside the writing standards (i.e. scientific process in the science standards or timelines in social studies standards).</w:t>
      </w:r>
    </w:p>
    <w:p w:rsidR="00955366" w:rsidRPr="00AF2F85" w:rsidRDefault="003B417B" w:rsidP="00A950B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For primary teachers: C</w:t>
      </w:r>
      <w:r w:rsidR="00AF2F85">
        <w:rPr>
          <w:sz w:val="20"/>
          <w:szCs w:val="20"/>
        </w:rPr>
        <w:t>reate a diagnostic recordin</w:t>
      </w:r>
      <w:r>
        <w:rPr>
          <w:sz w:val="20"/>
          <w:szCs w:val="20"/>
        </w:rPr>
        <w:t>g sheet for individual students’</w:t>
      </w:r>
      <w:r w:rsidR="00AF2F85">
        <w:rPr>
          <w:sz w:val="20"/>
          <w:szCs w:val="20"/>
        </w:rPr>
        <w:t xml:space="preserve"> abiliti</w:t>
      </w:r>
      <w:r>
        <w:rPr>
          <w:sz w:val="20"/>
          <w:szCs w:val="20"/>
        </w:rPr>
        <w:t>es and progress toward spelling (pp</w:t>
      </w:r>
      <w:r w:rsidR="00AF2F85">
        <w:rPr>
          <w:sz w:val="20"/>
          <w:szCs w:val="20"/>
        </w:rPr>
        <w:t>. 64-69)</w:t>
      </w:r>
      <w:r>
        <w:rPr>
          <w:sz w:val="20"/>
          <w:szCs w:val="20"/>
        </w:rPr>
        <w:t>.</w:t>
      </w:r>
    </w:p>
    <w:p w:rsidR="00955366" w:rsidRDefault="00955366" w:rsidP="00A950BB">
      <w:pPr>
        <w:rPr>
          <w:b/>
          <w:sz w:val="20"/>
          <w:szCs w:val="20"/>
        </w:rPr>
      </w:pPr>
    </w:p>
    <w:p w:rsidR="00A950BB" w:rsidRPr="0061795F" w:rsidRDefault="00A950BB" w:rsidP="00A950BB">
      <w:pPr>
        <w:rPr>
          <w:b/>
          <w:sz w:val="20"/>
          <w:szCs w:val="20"/>
        </w:rPr>
      </w:pPr>
      <w:r w:rsidRPr="0061795F">
        <w:rPr>
          <w:b/>
          <w:sz w:val="20"/>
          <w:szCs w:val="20"/>
        </w:rPr>
        <w:lastRenderedPageBreak/>
        <w:t xml:space="preserve">Chapter </w:t>
      </w:r>
      <w:r w:rsidR="00C20F0B" w:rsidRPr="0061795F">
        <w:rPr>
          <w:b/>
          <w:sz w:val="20"/>
          <w:szCs w:val="20"/>
        </w:rPr>
        <w:t>4</w:t>
      </w:r>
      <w:r w:rsidRPr="0061795F">
        <w:rPr>
          <w:b/>
          <w:sz w:val="20"/>
          <w:szCs w:val="20"/>
        </w:rPr>
        <w:t>:</w:t>
      </w:r>
      <w:r w:rsidR="0061795F">
        <w:rPr>
          <w:b/>
          <w:sz w:val="20"/>
          <w:szCs w:val="20"/>
        </w:rPr>
        <w:t xml:space="preserve">  </w:t>
      </w:r>
      <w:r w:rsidR="00752E6A" w:rsidRPr="0061795F">
        <w:rPr>
          <w:b/>
          <w:sz w:val="20"/>
          <w:szCs w:val="20"/>
        </w:rPr>
        <w:t xml:space="preserve">Young People’s Writing </w:t>
      </w:r>
      <w:r w:rsidR="0061795F">
        <w:rPr>
          <w:b/>
          <w:sz w:val="20"/>
          <w:szCs w:val="20"/>
        </w:rPr>
        <w:t>(</w:t>
      </w:r>
      <w:r w:rsidR="00752E6A" w:rsidRPr="0061795F">
        <w:rPr>
          <w:b/>
          <w:sz w:val="20"/>
          <w:szCs w:val="20"/>
        </w:rPr>
        <w:t>85 – 98</w:t>
      </w:r>
      <w:r w:rsidR="0061795F">
        <w:rPr>
          <w:b/>
          <w:sz w:val="20"/>
          <w:szCs w:val="20"/>
        </w:rPr>
        <w:t>)</w:t>
      </w:r>
      <w:r w:rsidR="00752E6A" w:rsidRPr="0061795F">
        <w:rPr>
          <w:b/>
          <w:sz w:val="20"/>
          <w:szCs w:val="20"/>
        </w:rPr>
        <w:t xml:space="preserve"> </w:t>
      </w:r>
      <w:r w:rsidRPr="0061795F">
        <w:rPr>
          <w:b/>
          <w:sz w:val="20"/>
          <w:szCs w:val="20"/>
        </w:rPr>
        <w:tab/>
      </w:r>
    </w:p>
    <w:p w:rsidR="00A950BB" w:rsidRPr="00846904" w:rsidRDefault="00AF2F85" w:rsidP="00A950BB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Design five activities to help your students build a list of writing ideas that they will continue to add one to during the school year. (</w:t>
      </w:r>
      <w:r w:rsidR="002F6660">
        <w:rPr>
          <w:sz w:val="20"/>
          <w:szCs w:val="20"/>
        </w:rPr>
        <w:t>Example</w:t>
      </w:r>
      <w:r>
        <w:rPr>
          <w:sz w:val="20"/>
          <w:szCs w:val="20"/>
        </w:rPr>
        <w:t>: have students draw a “map” of their room or neighborhood, writing phrases on the map where events have taken place, unusual people or sites, etc.)</w:t>
      </w:r>
    </w:p>
    <w:p w:rsidR="00E75377" w:rsidRDefault="002D4938" w:rsidP="002D493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How might you encourage your students to keep track of their progress toward the C</w:t>
      </w:r>
      <w:r w:rsidR="003B417B">
        <w:rPr>
          <w:sz w:val="20"/>
          <w:szCs w:val="20"/>
        </w:rPr>
        <w:t>CSS</w:t>
      </w:r>
      <w:r>
        <w:rPr>
          <w:sz w:val="20"/>
          <w:szCs w:val="20"/>
        </w:rPr>
        <w:t xml:space="preserve"> as they write throughout the year?</w:t>
      </w:r>
    </w:p>
    <w:p w:rsidR="0048412A" w:rsidRDefault="0048412A" w:rsidP="00A950BB">
      <w:pPr>
        <w:rPr>
          <w:b/>
          <w:sz w:val="20"/>
          <w:szCs w:val="20"/>
        </w:rPr>
      </w:pPr>
    </w:p>
    <w:p w:rsidR="00A950BB" w:rsidRPr="0061795F" w:rsidRDefault="00A950BB" w:rsidP="00A950BB">
      <w:pPr>
        <w:rPr>
          <w:b/>
          <w:sz w:val="20"/>
          <w:szCs w:val="20"/>
        </w:rPr>
      </w:pPr>
      <w:r w:rsidRPr="0061795F">
        <w:rPr>
          <w:b/>
          <w:sz w:val="20"/>
          <w:szCs w:val="20"/>
        </w:rPr>
        <w:t xml:space="preserve">Chapter </w:t>
      </w:r>
      <w:r w:rsidR="00C20F0B" w:rsidRPr="0061795F">
        <w:rPr>
          <w:b/>
          <w:sz w:val="20"/>
          <w:szCs w:val="20"/>
        </w:rPr>
        <w:t>5</w:t>
      </w:r>
      <w:r w:rsidRPr="0061795F">
        <w:rPr>
          <w:b/>
          <w:sz w:val="20"/>
          <w:szCs w:val="20"/>
        </w:rPr>
        <w:t>:</w:t>
      </w:r>
      <w:r w:rsidR="0061795F">
        <w:rPr>
          <w:b/>
          <w:sz w:val="20"/>
          <w:szCs w:val="20"/>
        </w:rPr>
        <w:t xml:space="preserve">  </w:t>
      </w:r>
      <w:proofErr w:type="spellStart"/>
      <w:r w:rsidR="003B417B" w:rsidRPr="0061795F">
        <w:rPr>
          <w:b/>
          <w:sz w:val="20"/>
          <w:szCs w:val="20"/>
        </w:rPr>
        <w:t>Organis</w:t>
      </w:r>
      <w:r w:rsidR="0061795F">
        <w:rPr>
          <w:b/>
          <w:sz w:val="20"/>
          <w:szCs w:val="20"/>
        </w:rPr>
        <w:t>ing</w:t>
      </w:r>
      <w:proofErr w:type="spellEnd"/>
      <w:r w:rsidR="0061795F">
        <w:rPr>
          <w:b/>
          <w:sz w:val="20"/>
          <w:szCs w:val="20"/>
        </w:rPr>
        <w:t xml:space="preserve"> for Writing</w:t>
      </w:r>
      <w:r w:rsidR="00752E6A" w:rsidRPr="0061795F">
        <w:rPr>
          <w:b/>
          <w:sz w:val="20"/>
          <w:szCs w:val="20"/>
        </w:rPr>
        <w:t xml:space="preserve"> </w:t>
      </w:r>
      <w:r w:rsidR="0061795F">
        <w:rPr>
          <w:b/>
          <w:sz w:val="20"/>
          <w:szCs w:val="20"/>
        </w:rPr>
        <w:t>(</w:t>
      </w:r>
      <w:r w:rsidR="00752E6A" w:rsidRPr="0061795F">
        <w:rPr>
          <w:b/>
          <w:sz w:val="20"/>
          <w:szCs w:val="20"/>
        </w:rPr>
        <w:t>99 – 111</w:t>
      </w:r>
      <w:r w:rsidR="0061795F">
        <w:rPr>
          <w:b/>
          <w:sz w:val="20"/>
          <w:szCs w:val="20"/>
        </w:rPr>
        <w:t>)</w:t>
      </w:r>
      <w:r w:rsidR="00752E6A" w:rsidRPr="0061795F">
        <w:rPr>
          <w:b/>
          <w:sz w:val="20"/>
          <w:szCs w:val="20"/>
        </w:rPr>
        <w:t xml:space="preserve"> </w:t>
      </w:r>
      <w:r w:rsidRPr="0061795F">
        <w:rPr>
          <w:b/>
          <w:sz w:val="20"/>
          <w:szCs w:val="20"/>
        </w:rPr>
        <w:tab/>
      </w:r>
    </w:p>
    <w:p w:rsidR="00A950BB" w:rsidRPr="00846904" w:rsidRDefault="006C2123" w:rsidP="00A950B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Reflect on the four</w:t>
      </w:r>
      <w:r w:rsidR="003B417B">
        <w:rPr>
          <w:sz w:val="20"/>
          <w:szCs w:val="20"/>
        </w:rPr>
        <w:t xml:space="preserve"> types of conferences presented. W</w:t>
      </w:r>
      <w:r>
        <w:rPr>
          <w:sz w:val="20"/>
          <w:szCs w:val="20"/>
        </w:rPr>
        <w:t>hat is the purpose of each and how can you incorporate them into your writing plan?</w:t>
      </w:r>
    </w:p>
    <w:p w:rsidR="00A950BB" w:rsidRPr="00846904" w:rsidRDefault="006C2123" w:rsidP="00A950B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How do the Comm</w:t>
      </w:r>
      <w:r w:rsidR="003B417B">
        <w:rPr>
          <w:sz w:val="20"/>
          <w:szCs w:val="20"/>
        </w:rPr>
        <w:t>on Core Speaking and Listening S</w:t>
      </w:r>
      <w:r>
        <w:rPr>
          <w:sz w:val="20"/>
          <w:szCs w:val="20"/>
        </w:rPr>
        <w:t>tandards relate to writing conferences?</w:t>
      </w:r>
    </w:p>
    <w:p w:rsidR="00A950BB" w:rsidRPr="00846904" w:rsidRDefault="006C2123" w:rsidP="00A950B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Use a piece a student writing to plan a teacher student conference. Hold the conference and reflect on your process.</w:t>
      </w:r>
    </w:p>
    <w:p w:rsidR="00A950BB" w:rsidRDefault="006C2123" w:rsidP="00A950B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How can you use guided (aka close) reading to help students revise their writing?</w:t>
      </w:r>
    </w:p>
    <w:p w:rsidR="00E75377" w:rsidRPr="00E75377" w:rsidRDefault="00E75377" w:rsidP="00E75377">
      <w:pPr>
        <w:ind w:left="360"/>
        <w:rPr>
          <w:sz w:val="20"/>
          <w:szCs w:val="20"/>
        </w:rPr>
      </w:pPr>
    </w:p>
    <w:p w:rsidR="00A950BB" w:rsidRPr="0061795F" w:rsidRDefault="00A950BB" w:rsidP="00A950BB">
      <w:pPr>
        <w:rPr>
          <w:b/>
          <w:sz w:val="20"/>
          <w:szCs w:val="20"/>
        </w:rPr>
      </w:pPr>
      <w:r w:rsidRPr="0061795F">
        <w:rPr>
          <w:b/>
          <w:sz w:val="20"/>
          <w:szCs w:val="20"/>
        </w:rPr>
        <w:t xml:space="preserve">Chapter </w:t>
      </w:r>
      <w:r w:rsidR="00C20F0B" w:rsidRPr="0061795F">
        <w:rPr>
          <w:b/>
          <w:sz w:val="20"/>
          <w:szCs w:val="20"/>
        </w:rPr>
        <w:t>6</w:t>
      </w:r>
      <w:r w:rsidRPr="0061795F">
        <w:rPr>
          <w:b/>
          <w:sz w:val="20"/>
          <w:szCs w:val="20"/>
        </w:rPr>
        <w:t>:</w:t>
      </w:r>
      <w:r w:rsidR="0061795F">
        <w:rPr>
          <w:b/>
          <w:sz w:val="20"/>
          <w:szCs w:val="20"/>
        </w:rPr>
        <w:t xml:space="preserve">  </w:t>
      </w:r>
      <w:r w:rsidR="00E75377" w:rsidRPr="0061795F">
        <w:rPr>
          <w:b/>
          <w:sz w:val="20"/>
          <w:szCs w:val="20"/>
        </w:rPr>
        <w:t xml:space="preserve">Monitoring Writing </w:t>
      </w:r>
      <w:r w:rsidR="0061795F">
        <w:rPr>
          <w:b/>
          <w:sz w:val="20"/>
          <w:szCs w:val="20"/>
        </w:rPr>
        <w:t>(112 – 120)</w:t>
      </w:r>
    </w:p>
    <w:p w:rsidR="006C2123" w:rsidRDefault="006C2123" w:rsidP="00A950BB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Create a method and documents to be able to track each student’s short-term and long-term writing progress</w:t>
      </w:r>
      <w:r w:rsidR="002F6660">
        <w:rPr>
          <w:sz w:val="20"/>
          <w:szCs w:val="20"/>
        </w:rPr>
        <w:t xml:space="preserve"> this school year</w:t>
      </w:r>
      <w:r>
        <w:rPr>
          <w:sz w:val="20"/>
          <w:szCs w:val="20"/>
        </w:rPr>
        <w:t xml:space="preserve">. </w:t>
      </w:r>
      <w:r w:rsidR="00CF6E42">
        <w:rPr>
          <w:sz w:val="20"/>
          <w:szCs w:val="20"/>
        </w:rPr>
        <w:t>Consider a plan to share this progress along with evidence (student writing samples) with parents at conferences.</w:t>
      </w:r>
    </w:p>
    <w:p w:rsidR="00AD370F" w:rsidRPr="00846904" w:rsidRDefault="00AD370F" w:rsidP="00A950BB">
      <w:pPr>
        <w:pStyle w:val="ListParagraph"/>
        <w:ind w:left="0"/>
        <w:rPr>
          <w:sz w:val="20"/>
          <w:szCs w:val="20"/>
        </w:rPr>
      </w:pPr>
    </w:p>
    <w:p w:rsidR="00C515DC" w:rsidRPr="00F94A9A" w:rsidRDefault="0061795F">
      <w:pPr>
        <w:rPr>
          <w:b/>
          <w:sz w:val="20"/>
          <w:szCs w:val="20"/>
        </w:rPr>
      </w:pPr>
      <w:r>
        <w:rPr>
          <w:b/>
          <w:sz w:val="20"/>
          <w:szCs w:val="20"/>
        </w:rPr>
        <w:t>Closure</w:t>
      </w:r>
    </w:p>
    <w:p w:rsidR="001C0409" w:rsidRPr="00F94A9A" w:rsidRDefault="000F55DE" w:rsidP="0044109E">
      <w:pPr>
        <w:rPr>
          <w:sz w:val="20"/>
          <w:szCs w:val="20"/>
        </w:rPr>
      </w:pPr>
      <w:r w:rsidRPr="00F94A9A">
        <w:rPr>
          <w:sz w:val="20"/>
          <w:szCs w:val="20"/>
        </w:rPr>
        <w:t>Example:</w:t>
      </w:r>
      <w:r w:rsidR="0093226F" w:rsidRPr="00F94A9A">
        <w:rPr>
          <w:sz w:val="20"/>
          <w:szCs w:val="20"/>
        </w:rPr>
        <w:t xml:space="preserve">  </w:t>
      </w:r>
      <w:r w:rsidR="0044109E" w:rsidRPr="00F94A9A">
        <w:rPr>
          <w:b/>
          <w:sz w:val="20"/>
          <w:szCs w:val="20"/>
        </w:rPr>
        <w:t>Now and Later!</w:t>
      </w:r>
      <w:r w:rsidR="0044109E" w:rsidRPr="00F94A9A">
        <w:rPr>
          <w:sz w:val="20"/>
          <w:szCs w:val="20"/>
        </w:rPr>
        <w:t xml:space="preserve">  </w:t>
      </w:r>
      <w:r w:rsidR="0093226F" w:rsidRPr="00F94A9A">
        <w:rPr>
          <w:sz w:val="20"/>
          <w:szCs w:val="20"/>
        </w:rPr>
        <w:t>F</w:t>
      </w:r>
      <w:r w:rsidR="00CB7022" w:rsidRPr="00F94A9A">
        <w:rPr>
          <w:sz w:val="20"/>
          <w:szCs w:val="20"/>
        </w:rPr>
        <w:t xml:space="preserve">or your </w:t>
      </w:r>
      <w:r w:rsidR="00CB7022" w:rsidRPr="00F94A9A">
        <w:rPr>
          <w:b/>
          <w:sz w:val="20"/>
          <w:szCs w:val="20"/>
        </w:rPr>
        <w:t>NEXT STEPS</w:t>
      </w:r>
      <w:r w:rsidR="00CB7022" w:rsidRPr="00F94A9A">
        <w:rPr>
          <w:sz w:val="20"/>
          <w:szCs w:val="20"/>
        </w:rPr>
        <w:t>, LIST 5 (or more) strategies or ideas</w:t>
      </w:r>
      <w:r w:rsidR="0044109E" w:rsidRPr="00F94A9A">
        <w:rPr>
          <w:sz w:val="20"/>
          <w:szCs w:val="20"/>
        </w:rPr>
        <w:t xml:space="preserve"> from the book that</w:t>
      </w:r>
      <w:r w:rsidR="00CB7022" w:rsidRPr="00F94A9A">
        <w:rPr>
          <w:sz w:val="20"/>
          <w:szCs w:val="20"/>
        </w:rPr>
        <w:t xml:space="preserve"> you would like to try with your students.  Label 2 of them </w:t>
      </w:r>
      <w:r w:rsidR="003B417B">
        <w:rPr>
          <w:b/>
          <w:sz w:val="20"/>
          <w:szCs w:val="20"/>
        </w:rPr>
        <w:t>“NOW.”</w:t>
      </w:r>
      <w:r w:rsidR="00CB7022" w:rsidRPr="00F94A9A">
        <w:rPr>
          <w:sz w:val="20"/>
          <w:szCs w:val="20"/>
        </w:rPr>
        <w:t xml:space="preserve">  These are your next steps.  Label the remaining items </w:t>
      </w:r>
      <w:r w:rsidR="003B417B">
        <w:rPr>
          <w:b/>
          <w:sz w:val="20"/>
          <w:szCs w:val="20"/>
        </w:rPr>
        <w:t>“LATER.”</w:t>
      </w:r>
      <w:r w:rsidR="00CB7022" w:rsidRPr="00F94A9A">
        <w:rPr>
          <w:sz w:val="20"/>
          <w:szCs w:val="20"/>
        </w:rPr>
        <w:t xml:space="preserve">  Revisit your list after you get started.  Your next steps may have changed and you probably have a few more to add to the list.</w:t>
      </w:r>
    </w:p>
    <w:p w:rsidR="001C0409" w:rsidRPr="00410C56" w:rsidRDefault="001C0409" w:rsidP="0044109E">
      <w:pPr>
        <w:rPr>
          <w:sz w:val="18"/>
          <w:szCs w:val="18"/>
        </w:rPr>
      </w:pPr>
    </w:p>
    <w:p w:rsidR="0048412A" w:rsidRDefault="0048412A" w:rsidP="002F6660">
      <w:pPr>
        <w:rPr>
          <w:b/>
          <w:sz w:val="20"/>
          <w:szCs w:val="20"/>
        </w:rPr>
      </w:pPr>
    </w:p>
    <w:p w:rsidR="00B82A8D" w:rsidRPr="002F6660" w:rsidRDefault="00B82A8D" w:rsidP="002F6660">
      <w:pPr>
        <w:rPr>
          <w:b/>
          <w:sz w:val="20"/>
          <w:szCs w:val="20"/>
        </w:rPr>
      </w:pPr>
      <w:r w:rsidRPr="00AD370F">
        <w:rPr>
          <w:b/>
          <w:sz w:val="20"/>
          <w:szCs w:val="20"/>
        </w:rPr>
        <w:t>Additional information</w:t>
      </w:r>
      <w:r w:rsidR="0044109E">
        <w:rPr>
          <w:b/>
          <w:sz w:val="20"/>
          <w:szCs w:val="20"/>
        </w:rPr>
        <w:t xml:space="preserve"> on the topic</w:t>
      </w:r>
      <w:r w:rsidR="0074560C">
        <w:rPr>
          <w:sz w:val="18"/>
          <w:szCs w:val="18"/>
        </w:rPr>
        <w:tab/>
      </w:r>
    </w:p>
    <w:p w:rsidR="002F6660" w:rsidRPr="00F94A9A" w:rsidRDefault="0061795F" w:rsidP="0074560C">
      <w:pPr>
        <w:ind w:firstLine="720"/>
        <w:rPr>
          <w:sz w:val="18"/>
          <w:szCs w:val="18"/>
        </w:rPr>
      </w:pPr>
      <w:r>
        <w:rPr>
          <w:sz w:val="18"/>
          <w:szCs w:val="18"/>
        </w:rPr>
        <w:t>Book</w:t>
      </w:r>
      <w:r w:rsidR="00B82A8D" w:rsidRPr="00410C56">
        <w:rPr>
          <w:sz w:val="18"/>
          <w:szCs w:val="18"/>
        </w:rPr>
        <w:t xml:space="preserve">:  </w:t>
      </w:r>
      <w:r w:rsidR="00F94A9A">
        <w:rPr>
          <w:i/>
          <w:sz w:val="18"/>
          <w:szCs w:val="18"/>
        </w:rPr>
        <w:t xml:space="preserve">The Nuts and Bolts of Teaching Writing </w:t>
      </w:r>
      <w:r w:rsidR="00F94A9A">
        <w:rPr>
          <w:sz w:val="18"/>
          <w:szCs w:val="18"/>
        </w:rPr>
        <w:t>by Lucy Calkins</w:t>
      </w:r>
    </w:p>
    <w:tbl>
      <w:tblPr>
        <w:tblW w:w="5000" w:type="pct"/>
        <w:tblCellSpacing w:w="0" w:type="dxa"/>
        <w:tblInd w:w="72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10"/>
      </w:tblGrid>
      <w:tr w:rsidR="002F6660" w:rsidTr="002F66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F6660" w:rsidRDefault="002F6660" w:rsidP="00F94A9A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6660">
              <w:rPr>
                <w:rFonts w:ascii="Arial" w:hAnsi="Arial" w:cs="Arial"/>
                <w:color w:val="000000"/>
                <w:sz w:val="18"/>
                <w:szCs w:val="18"/>
              </w:rPr>
              <w:t>Used throughout the year, this book is a comprehensive guide to the classroom systems and teaching structures that are the foundation of a primary writing workshop. Lucy also includes chapters about working within developmental stages of writing, supporting English language learners, and assessing writers.</w:t>
            </w:r>
          </w:p>
        </w:tc>
      </w:tr>
      <w:tr w:rsidR="002F6660" w:rsidTr="002F666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6221"/>
            </w:tblGrid>
            <w:tr w:rsidR="002F6660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2F6660" w:rsidRPr="002F6660" w:rsidRDefault="002F6660" w:rsidP="002F666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F666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lastRenderedPageBreak/>
                    <w:t>Chapter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660" w:rsidRPr="002F6660" w:rsidRDefault="002F6660" w:rsidP="002F666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F666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An Overview</w:t>
                  </w:r>
                </w:p>
              </w:tc>
            </w:tr>
            <w:tr w:rsidR="002F666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F6660" w:rsidRPr="002F6660" w:rsidRDefault="002F6660" w:rsidP="002F666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F666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Chapter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660" w:rsidRPr="002F6660" w:rsidRDefault="002F6660" w:rsidP="002F666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F666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Pathways for Writers: "My Children Don't Yet Know Their ABCs. How Can They Write?"</w:t>
                  </w:r>
                </w:p>
              </w:tc>
            </w:tr>
            <w:tr w:rsidR="002F666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F6660" w:rsidRPr="002F6660" w:rsidRDefault="002F6660" w:rsidP="002F666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F666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Chapter 3: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660" w:rsidRPr="002F6660" w:rsidRDefault="002F6660" w:rsidP="002F666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F666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Planning Curriculum in a Primary Writing Workshop</w:t>
                  </w:r>
                </w:p>
              </w:tc>
            </w:tr>
            <w:tr w:rsidR="002F666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F6660" w:rsidRPr="002F6660" w:rsidRDefault="002F6660" w:rsidP="002F666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F666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Chapter 4: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660" w:rsidRPr="002F6660" w:rsidRDefault="002F6660" w:rsidP="002F666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F666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Managing the Writing Workshop</w:t>
                  </w:r>
                </w:p>
              </w:tc>
            </w:tr>
            <w:tr w:rsidR="002F666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F6660" w:rsidRPr="002F6660" w:rsidRDefault="002F6660" w:rsidP="002F666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F666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Chapter 5: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660" w:rsidRPr="002F6660" w:rsidRDefault="002F6660" w:rsidP="002F666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F666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Teaching Methods: </w:t>
                  </w:r>
                  <w:proofErr w:type="spellStart"/>
                  <w:r w:rsidRPr="002F666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Minilessons</w:t>
                  </w:r>
                  <w:proofErr w:type="spellEnd"/>
                  <w:r w:rsidRPr="002F666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 That Power Your Curriculum</w:t>
                  </w:r>
                </w:p>
              </w:tc>
            </w:tr>
            <w:tr w:rsidR="002F666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F6660" w:rsidRPr="002F6660" w:rsidRDefault="002F6660" w:rsidP="002F666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F666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Chapter 6: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660" w:rsidRPr="002F6660" w:rsidRDefault="002F6660" w:rsidP="002F666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F666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Conferring with Young Writers</w:t>
                  </w:r>
                </w:p>
              </w:tc>
            </w:tr>
            <w:tr w:rsidR="002F666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F6660" w:rsidRPr="002F6660" w:rsidRDefault="002F6660" w:rsidP="002F666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F666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Chapter 7: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660" w:rsidRPr="002F6660" w:rsidRDefault="002F6660" w:rsidP="002F666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F666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Assessing Writers Throughout the Year</w:t>
                  </w:r>
                </w:p>
              </w:tc>
            </w:tr>
            <w:tr w:rsidR="002F666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F6660" w:rsidRPr="002F6660" w:rsidRDefault="002F6660" w:rsidP="002F666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2F666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Chapter 8: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660" w:rsidRPr="002F6660" w:rsidRDefault="002F6660" w:rsidP="002F666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F666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The Literacy Instruction That Surrounds and Supports the Teaching of Writing</w:t>
                  </w:r>
                </w:p>
              </w:tc>
            </w:tr>
            <w:tr w:rsidR="002F666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F6660" w:rsidRPr="002F6660" w:rsidRDefault="002F6660" w:rsidP="002F6660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2F666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Chapter 9: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6660" w:rsidRPr="002F6660" w:rsidRDefault="002F6660" w:rsidP="002F666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F6660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Assessment</w:t>
                  </w:r>
                </w:p>
              </w:tc>
            </w:tr>
          </w:tbl>
          <w:p w:rsidR="002F6660" w:rsidRDefault="002F66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1554" w:rsidRPr="00410C56" w:rsidRDefault="00E61554" w:rsidP="002F6660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Websites: </w:t>
      </w:r>
      <w:hyperlink r:id="rId9" w:history="1">
        <w:r w:rsidRPr="00E61554">
          <w:rPr>
            <w:rStyle w:val="Hyperlink"/>
            <w:sz w:val="18"/>
            <w:szCs w:val="18"/>
          </w:rPr>
          <w:t>http://www.learner.org/</w:t>
        </w:r>
      </w:hyperlink>
      <w:r w:rsidR="003B417B">
        <w:rPr>
          <w:sz w:val="18"/>
          <w:szCs w:val="18"/>
        </w:rPr>
        <w:t xml:space="preserve"> </w:t>
      </w:r>
      <w:proofErr w:type="gramStart"/>
      <w:r w:rsidR="003B417B">
        <w:rPr>
          <w:sz w:val="18"/>
          <w:szCs w:val="18"/>
        </w:rPr>
        <w:t>There</w:t>
      </w:r>
      <w:proofErr w:type="gramEnd"/>
      <w:r w:rsidR="00482DA9">
        <w:rPr>
          <w:sz w:val="18"/>
          <w:szCs w:val="18"/>
        </w:rPr>
        <w:t xml:space="preserve"> is a video series that is geared toward writing at grades 3-5.</w:t>
      </w:r>
    </w:p>
    <w:p w:rsidR="0093226F" w:rsidRDefault="0093226F" w:rsidP="0093226F">
      <w:pPr>
        <w:ind w:firstLine="720"/>
      </w:pPr>
    </w:p>
    <w:p w:rsidR="00C515DC" w:rsidRDefault="00C515DC"/>
    <w:p w:rsidR="00C515DC" w:rsidRDefault="00C515DC"/>
    <w:p w:rsidR="005F2280" w:rsidRDefault="005F2280"/>
    <w:sectPr w:rsidR="005F228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77" w:rsidRDefault="00DE6E77" w:rsidP="00B90498">
      <w:pPr>
        <w:spacing w:after="0" w:line="240" w:lineRule="auto"/>
      </w:pPr>
      <w:r>
        <w:separator/>
      </w:r>
    </w:p>
  </w:endnote>
  <w:endnote w:type="continuationSeparator" w:id="0">
    <w:p w:rsidR="00DE6E77" w:rsidRDefault="00DE6E77" w:rsidP="00B9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56" w:rsidRPr="0061795F" w:rsidRDefault="00E6155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61795F">
      <w:rPr>
        <w:rFonts w:asciiTheme="majorHAnsi" w:hAnsiTheme="majorHAnsi"/>
        <w:i/>
        <w:sz w:val="20"/>
        <w:szCs w:val="20"/>
      </w:rPr>
      <w:t>Dancing with the</w:t>
    </w:r>
    <w:r w:rsidR="0061795F" w:rsidRPr="0061795F">
      <w:rPr>
        <w:rFonts w:asciiTheme="majorHAnsi" w:hAnsiTheme="majorHAnsi"/>
        <w:i/>
        <w:sz w:val="20"/>
        <w:szCs w:val="20"/>
      </w:rPr>
      <w:t xml:space="preserve"> Pen. </w:t>
    </w:r>
    <w:r w:rsidR="00FE5EEC">
      <w:rPr>
        <w:rFonts w:asciiTheme="majorHAnsi" w:hAnsiTheme="majorHAnsi"/>
        <w:sz w:val="20"/>
        <w:szCs w:val="20"/>
      </w:rPr>
      <w:t>2007</w:t>
    </w:r>
    <w:r w:rsidR="00EF1F57">
      <w:rPr>
        <w:rFonts w:asciiTheme="majorHAnsi" w:hAnsiTheme="majorHAnsi"/>
        <w:sz w:val="20"/>
        <w:szCs w:val="20"/>
      </w:rPr>
      <w:t xml:space="preserve">. </w:t>
    </w:r>
    <w:r w:rsidR="0061795F" w:rsidRPr="0061795F">
      <w:rPr>
        <w:rFonts w:asciiTheme="majorHAnsi" w:hAnsiTheme="majorHAnsi"/>
        <w:sz w:val="20"/>
        <w:szCs w:val="20"/>
      </w:rPr>
      <w:t xml:space="preserve">New Zealand: </w:t>
    </w:r>
    <w:r w:rsidRPr="0061795F">
      <w:rPr>
        <w:rFonts w:asciiTheme="majorHAnsi" w:hAnsiTheme="majorHAnsi"/>
        <w:sz w:val="20"/>
        <w:szCs w:val="20"/>
      </w:rPr>
      <w:t>New</w:t>
    </w:r>
    <w:r w:rsidR="0061795F" w:rsidRPr="0061795F">
      <w:rPr>
        <w:rFonts w:asciiTheme="majorHAnsi" w:hAnsiTheme="majorHAnsi"/>
        <w:sz w:val="20"/>
        <w:szCs w:val="20"/>
      </w:rPr>
      <w:t xml:space="preserve"> Zealand Ministry of Education.</w:t>
    </w:r>
    <w:r w:rsidR="00410C56" w:rsidRPr="0061795F">
      <w:rPr>
        <w:rFonts w:asciiTheme="majorHAnsi" w:eastAsiaTheme="majorEastAsia" w:hAnsiTheme="majorHAnsi" w:cstheme="majorBidi"/>
        <w:i/>
        <w:sz w:val="20"/>
        <w:szCs w:val="20"/>
      </w:rPr>
      <w:ptab w:relativeTo="margin" w:alignment="right" w:leader="none"/>
    </w:r>
    <w:r w:rsidR="00410C56" w:rsidRPr="0061795F">
      <w:rPr>
        <w:rFonts w:asciiTheme="majorHAnsi" w:eastAsiaTheme="majorEastAsia" w:hAnsiTheme="majorHAnsi" w:cstheme="majorBidi"/>
        <w:i/>
        <w:sz w:val="20"/>
        <w:szCs w:val="20"/>
      </w:rPr>
      <w:t>Page</w:t>
    </w:r>
    <w:r w:rsidR="00410C56" w:rsidRPr="0061795F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410C56" w:rsidRPr="0061795F">
      <w:rPr>
        <w:rFonts w:asciiTheme="majorHAnsi" w:eastAsiaTheme="minorEastAsia" w:hAnsiTheme="majorHAnsi"/>
        <w:sz w:val="20"/>
        <w:szCs w:val="20"/>
      </w:rPr>
      <w:fldChar w:fldCharType="begin"/>
    </w:r>
    <w:r w:rsidR="00410C56" w:rsidRPr="0061795F">
      <w:rPr>
        <w:rFonts w:asciiTheme="majorHAnsi" w:hAnsiTheme="majorHAnsi"/>
        <w:sz w:val="20"/>
        <w:szCs w:val="20"/>
      </w:rPr>
      <w:instrText xml:space="preserve"> PAGE   \* MERGEFORMAT </w:instrText>
    </w:r>
    <w:r w:rsidR="00410C56" w:rsidRPr="0061795F">
      <w:rPr>
        <w:rFonts w:asciiTheme="majorHAnsi" w:eastAsiaTheme="minorEastAsia" w:hAnsiTheme="majorHAnsi"/>
        <w:sz w:val="20"/>
        <w:szCs w:val="20"/>
      </w:rPr>
      <w:fldChar w:fldCharType="separate"/>
    </w:r>
    <w:r w:rsidR="00EF1F57" w:rsidRPr="00EF1F57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="00410C56" w:rsidRPr="0061795F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:rsidR="00410C56" w:rsidRDefault="00410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77" w:rsidRDefault="00DE6E77" w:rsidP="00B90498">
      <w:pPr>
        <w:spacing w:after="0" w:line="240" w:lineRule="auto"/>
      </w:pPr>
      <w:r>
        <w:separator/>
      </w:r>
    </w:p>
  </w:footnote>
  <w:footnote w:type="continuationSeparator" w:id="0">
    <w:p w:rsidR="00DE6E77" w:rsidRDefault="00DE6E77" w:rsidP="00B9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5F" w:rsidRDefault="00410C5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8"/>
        <w:szCs w:val="28"/>
      </w:rPr>
    </w:pPr>
    <w:r w:rsidRPr="00410C56">
      <w:rPr>
        <w:rFonts w:asciiTheme="majorHAnsi" w:eastAsiaTheme="majorEastAsia" w:hAnsiTheme="majorHAnsi" w:cstheme="majorBidi"/>
        <w:b/>
        <w:sz w:val="28"/>
        <w:szCs w:val="28"/>
      </w:rPr>
      <w:t>A Book Study</w:t>
    </w:r>
    <w:r>
      <w:rPr>
        <w:rFonts w:asciiTheme="majorHAnsi" w:eastAsiaTheme="majorEastAsia" w:hAnsiTheme="majorHAnsi" w:cstheme="majorBidi"/>
        <w:b/>
        <w:sz w:val="28"/>
        <w:szCs w:val="28"/>
      </w:rPr>
      <w:t>:</w:t>
    </w:r>
  </w:p>
  <w:p w:rsidR="00410C56" w:rsidRPr="0061795F" w:rsidRDefault="001F2D7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61795F">
      <w:rPr>
        <w:rFonts w:asciiTheme="majorHAnsi" w:eastAsiaTheme="majorEastAsia" w:hAnsiTheme="majorHAnsi" w:cstheme="majorBidi"/>
      </w:rPr>
      <w:t>Dancing with the Pen: The Learner as a Writer</w:t>
    </w:r>
  </w:p>
  <w:p w:rsidR="00B90498" w:rsidRDefault="001F2D7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Published by the New Zealand Ministry of Education</w:t>
    </w:r>
  </w:p>
  <w:p w:rsidR="0061795F" w:rsidRPr="00410C56" w:rsidRDefault="0061795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</w:p>
  <w:p w:rsidR="00B90498" w:rsidRDefault="00B904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94C"/>
    <w:multiLevelType w:val="hybridMultilevel"/>
    <w:tmpl w:val="9F1C6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78B0"/>
    <w:multiLevelType w:val="hybridMultilevel"/>
    <w:tmpl w:val="9F1C6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652B2"/>
    <w:multiLevelType w:val="hybridMultilevel"/>
    <w:tmpl w:val="9F1C6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82320"/>
    <w:multiLevelType w:val="hybridMultilevel"/>
    <w:tmpl w:val="9F1C6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B5DE2"/>
    <w:multiLevelType w:val="hybridMultilevel"/>
    <w:tmpl w:val="9F1C6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96A43"/>
    <w:multiLevelType w:val="hybridMultilevel"/>
    <w:tmpl w:val="9F1C6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98"/>
    <w:rsid w:val="000056E4"/>
    <w:rsid w:val="00014BCB"/>
    <w:rsid w:val="000B2C87"/>
    <w:rsid w:val="000B48A1"/>
    <w:rsid w:val="000F55DE"/>
    <w:rsid w:val="000F6491"/>
    <w:rsid w:val="001478B4"/>
    <w:rsid w:val="00196352"/>
    <w:rsid w:val="001C0409"/>
    <w:rsid w:val="001F2D71"/>
    <w:rsid w:val="0024325F"/>
    <w:rsid w:val="0026650B"/>
    <w:rsid w:val="002A1886"/>
    <w:rsid w:val="002D4938"/>
    <w:rsid w:val="002F6660"/>
    <w:rsid w:val="003A03FC"/>
    <w:rsid w:val="003B417B"/>
    <w:rsid w:val="00410C56"/>
    <w:rsid w:val="0044109E"/>
    <w:rsid w:val="00454293"/>
    <w:rsid w:val="00482DA9"/>
    <w:rsid w:val="0048412A"/>
    <w:rsid w:val="005F2280"/>
    <w:rsid w:val="0061795F"/>
    <w:rsid w:val="006C2123"/>
    <w:rsid w:val="006E6FBA"/>
    <w:rsid w:val="006E7CAB"/>
    <w:rsid w:val="0074560C"/>
    <w:rsid w:val="00752E6A"/>
    <w:rsid w:val="00772170"/>
    <w:rsid w:val="007A44E7"/>
    <w:rsid w:val="007D0B7E"/>
    <w:rsid w:val="008109B6"/>
    <w:rsid w:val="00817EE0"/>
    <w:rsid w:val="00846904"/>
    <w:rsid w:val="00900882"/>
    <w:rsid w:val="0093226F"/>
    <w:rsid w:val="00955366"/>
    <w:rsid w:val="00962475"/>
    <w:rsid w:val="009D530F"/>
    <w:rsid w:val="00A950BB"/>
    <w:rsid w:val="00AB5537"/>
    <w:rsid w:val="00AD370F"/>
    <w:rsid w:val="00AE1824"/>
    <w:rsid w:val="00AF2F85"/>
    <w:rsid w:val="00B5071E"/>
    <w:rsid w:val="00B53240"/>
    <w:rsid w:val="00B551DD"/>
    <w:rsid w:val="00B82A8D"/>
    <w:rsid w:val="00B90498"/>
    <w:rsid w:val="00C01F21"/>
    <w:rsid w:val="00C20F0B"/>
    <w:rsid w:val="00C515DC"/>
    <w:rsid w:val="00CB1622"/>
    <w:rsid w:val="00CB7022"/>
    <w:rsid w:val="00CF6E42"/>
    <w:rsid w:val="00DB6B9D"/>
    <w:rsid w:val="00DE6E77"/>
    <w:rsid w:val="00E433AD"/>
    <w:rsid w:val="00E61554"/>
    <w:rsid w:val="00E75377"/>
    <w:rsid w:val="00EF1F57"/>
    <w:rsid w:val="00F94A9A"/>
    <w:rsid w:val="00FC28FD"/>
    <w:rsid w:val="00FD58B6"/>
    <w:rsid w:val="00FE5EEC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498"/>
  </w:style>
  <w:style w:type="paragraph" w:styleId="Footer">
    <w:name w:val="footer"/>
    <w:basedOn w:val="Normal"/>
    <w:link w:val="FooterChar"/>
    <w:uiPriority w:val="99"/>
    <w:unhideWhenUsed/>
    <w:rsid w:val="00B9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498"/>
  </w:style>
  <w:style w:type="paragraph" w:styleId="BalloonText">
    <w:name w:val="Balloon Text"/>
    <w:basedOn w:val="Normal"/>
    <w:link w:val="BalloonTextChar"/>
    <w:uiPriority w:val="99"/>
    <w:semiHidden/>
    <w:unhideWhenUsed/>
    <w:rsid w:val="00B9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9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6660"/>
  </w:style>
  <w:style w:type="paragraph" w:styleId="NormalWeb">
    <w:name w:val="Normal (Web)"/>
    <w:basedOn w:val="Normal"/>
    <w:uiPriority w:val="99"/>
    <w:unhideWhenUsed/>
    <w:rsid w:val="002F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498"/>
  </w:style>
  <w:style w:type="paragraph" w:styleId="Footer">
    <w:name w:val="footer"/>
    <w:basedOn w:val="Normal"/>
    <w:link w:val="FooterChar"/>
    <w:uiPriority w:val="99"/>
    <w:unhideWhenUsed/>
    <w:rsid w:val="00B9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498"/>
  </w:style>
  <w:style w:type="paragraph" w:styleId="BalloonText">
    <w:name w:val="Balloon Text"/>
    <w:basedOn w:val="Normal"/>
    <w:link w:val="BalloonTextChar"/>
    <w:uiPriority w:val="99"/>
    <w:semiHidden/>
    <w:unhideWhenUsed/>
    <w:rsid w:val="00B9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9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6660"/>
  </w:style>
  <w:style w:type="paragraph" w:styleId="NormalWeb">
    <w:name w:val="Normal (Web)"/>
    <w:basedOn w:val="Normal"/>
    <w:uiPriority w:val="99"/>
    <w:unhideWhenUsed/>
    <w:rsid w:val="002F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ion.edu/67245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arn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Book:</vt:lpstr>
    </vt:vector>
  </TitlesOfParts>
  <Company>Maricopa County Education Service Agency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Book:</dc:title>
  <dc:creator>Judy Campbell</dc:creator>
  <cp:lastModifiedBy>Donna Hicks</cp:lastModifiedBy>
  <cp:revision>5</cp:revision>
  <cp:lastPrinted>2013-07-12T22:45:00Z</cp:lastPrinted>
  <dcterms:created xsi:type="dcterms:W3CDTF">2013-08-01T18:33:00Z</dcterms:created>
  <dcterms:modified xsi:type="dcterms:W3CDTF">2013-08-09T17:16:00Z</dcterms:modified>
</cp:coreProperties>
</file>